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F333" w14:textId="77777777" w:rsidR="0020106B" w:rsidRDefault="0085358E">
      <w:pPr>
        <w:spacing w:after="445" w:line="259" w:lineRule="auto"/>
        <w:ind w:left="0" w:right="0" w:firstLine="0"/>
        <w:jc w:val="center"/>
      </w:pPr>
      <w:r>
        <w:rPr>
          <w:color w:val="FFFFFF"/>
        </w:rPr>
        <w:t>1</w:t>
      </w:r>
    </w:p>
    <w:p w14:paraId="4722B3C2" w14:textId="1A8D8672" w:rsidR="00D72BEE" w:rsidRPr="00BF1458" w:rsidRDefault="0085358E" w:rsidP="00D72BEE">
      <w:pPr>
        <w:pStyle w:val="NormalWeb"/>
        <w:shd w:val="clear" w:color="auto" w:fill="FFFFFF"/>
        <w:spacing w:before="0" w:beforeAutospacing="0" w:after="0" w:afterAutospacing="0" w:line="234" w:lineRule="atLeast"/>
        <w:jc w:val="center"/>
        <w:rPr>
          <w:color w:val="000000"/>
          <w:sz w:val="28"/>
          <w:szCs w:val="28"/>
        </w:rPr>
      </w:pPr>
      <w:r>
        <w:rPr>
          <w:b/>
        </w:rPr>
        <w:t xml:space="preserve">THỦ TỤC </w:t>
      </w:r>
      <w:bookmarkStart w:id="0" w:name="dieu_1_2"/>
      <w:r w:rsidR="00D72BEE" w:rsidRPr="00BF1458">
        <w:rPr>
          <w:b/>
          <w:bCs/>
          <w:color w:val="000000"/>
          <w:sz w:val="28"/>
          <w:szCs w:val="28"/>
          <w:lang w:val="vi-VN"/>
        </w:rPr>
        <w:t>CHUYỂN ĐỔI NHÀ TRẺ, TRƯỜNG MẪU GIÁO, TRƯỜNG MẦM NON TƯ THỤC DO NHÀ ĐẦU TƯ TRONG NƯỚC ĐẦU TƯ SANG NHÀ TRẺ, TRƯỜNG MẪU GIÁO, TRƯỜNG MẦM NON TƯ THỤC HOẠT ĐỘNG KHÔNG VÌ LỢI NHUẬN</w:t>
      </w:r>
      <w:bookmarkEnd w:id="0"/>
    </w:p>
    <w:p w14:paraId="2935C4C2" w14:textId="13F55DF8" w:rsidR="0020106B" w:rsidRDefault="0020106B" w:rsidP="00AF77D6">
      <w:pPr>
        <w:spacing w:after="38" w:line="259" w:lineRule="auto"/>
        <w:ind w:left="346" w:right="0"/>
        <w:jc w:val="left"/>
      </w:pPr>
    </w:p>
    <w:p w14:paraId="0ECA2111" w14:textId="77777777" w:rsidR="0020106B" w:rsidRDefault="0085358E">
      <w:pPr>
        <w:spacing w:after="180" w:line="259" w:lineRule="auto"/>
        <w:ind w:left="566" w:right="0" w:firstLine="0"/>
        <w:jc w:val="left"/>
      </w:pPr>
      <w:r>
        <w:t xml:space="preserve"> </w:t>
      </w:r>
    </w:p>
    <w:p w14:paraId="7B6353CD" w14:textId="77777777" w:rsidR="0020106B" w:rsidRDefault="0085358E">
      <w:pPr>
        <w:numPr>
          <w:ilvl w:val="0"/>
          <w:numId w:val="1"/>
        </w:numPr>
        <w:spacing w:after="173" w:line="259" w:lineRule="auto"/>
        <w:ind w:right="0" w:hanging="281"/>
        <w:jc w:val="left"/>
      </w:pPr>
      <w:r>
        <w:rPr>
          <w:b/>
        </w:rPr>
        <w:t>Trình tự thực hiện</w:t>
      </w:r>
      <w:r>
        <w:rPr>
          <w:b/>
          <w:i/>
        </w:rPr>
        <w:t xml:space="preserve"> </w:t>
      </w:r>
    </w:p>
    <w:p w14:paraId="1B6FFD29" w14:textId="46905B80" w:rsidR="00D72BEE" w:rsidRPr="00D72BEE" w:rsidRDefault="0085358E" w:rsidP="00D72BEE">
      <w:pPr>
        <w:pStyle w:val="NormalWeb"/>
        <w:shd w:val="clear" w:color="auto" w:fill="FFFFFF"/>
        <w:spacing w:before="120" w:beforeAutospacing="0" w:after="120" w:afterAutospacing="0" w:line="234" w:lineRule="atLeast"/>
        <w:ind w:firstLine="567"/>
        <w:jc w:val="both"/>
        <w:rPr>
          <w:color w:val="000000"/>
          <w:sz w:val="28"/>
          <w:szCs w:val="28"/>
        </w:rPr>
      </w:pPr>
      <w:r w:rsidRPr="00D72BEE">
        <w:rPr>
          <w:b/>
          <w:sz w:val="28"/>
          <w:szCs w:val="28"/>
        </w:rPr>
        <w:t>Bước 1</w:t>
      </w:r>
      <w:r w:rsidRPr="00D72BEE">
        <w:rPr>
          <w:sz w:val="28"/>
          <w:szCs w:val="28"/>
        </w:rPr>
        <w:t xml:space="preserve">: </w:t>
      </w:r>
      <w:r w:rsidR="00D72BEE" w:rsidRPr="00D72BEE">
        <w:rPr>
          <w:color w:val="000000"/>
          <w:sz w:val="28"/>
          <w:szCs w:val="28"/>
          <w:lang w:val="vi-VN"/>
        </w:rPr>
        <w:t xml:space="preserve"> Nhà trẻ, trường mẫu giáo, trường mầm non tư thục do nhà đầu tư trong nước đầu tư gửi 01 bộ hồ sơ trực tiếp hoặc qua bưu điện hoặc nộp trực tuyến kèm theo bản mềm đến Ủy ban nhân dân cấp huyện.</w:t>
      </w:r>
    </w:p>
    <w:p w14:paraId="34951B3F" w14:textId="173C843B" w:rsidR="00D72BEE" w:rsidRPr="00D72BEE" w:rsidRDefault="0085358E" w:rsidP="00D72BEE">
      <w:pPr>
        <w:pStyle w:val="NormalWeb"/>
        <w:shd w:val="clear" w:color="auto" w:fill="FFFFFF"/>
        <w:spacing w:before="120" w:beforeAutospacing="0" w:after="120" w:afterAutospacing="0" w:line="234" w:lineRule="atLeast"/>
        <w:ind w:firstLine="567"/>
        <w:jc w:val="both"/>
        <w:rPr>
          <w:color w:val="000000"/>
          <w:sz w:val="28"/>
          <w:szCs w:val="28"/>
          <w:lang w:val="vi-VN"/>
        </w:rPr>
      </w:pPr>
      <w:r w:rsidRPr="00D72BEE">
        <w:rPr>
          <w:b/>
          <w:sz w:val="28"/>
          <w:szCs w:val="28"/>
        </w:rPr>
        <w:t>Bước 2</w:t>
      </w:r>
      <w:r w:rsidRPr="00D72BEE">
        <w:rPr>
          <w:sz w:val="28"/>
          <w:szCs w:val="28"/>
        </w:rPr>
        <w:t xml:space="preserve">: </w:t>
      </w:r>
      <w:r w:rsidR="00D72BEE" w:rsidRPr="00D72BEE">
        <w:rPr>
          <w:color w:val="000000"/>
          <w:sz w:val="28"/>
          <w:szCs w:val="28"/>
          <w:lang w:val="vi-VN"/>
        </w:rPr>
        <w:t>Trong thời hạn 20 ngày làm việc tính từ ngày nhận đủ hồ sơ theo quy định, Phòng Giáo dục và Đào tạo tổ chức thẩm định hồ sơ, trình Ủy ban nhân dân cấp huyện</w:t>
      </w:r>
      <w:r w:rsidR="00D72BEE">
        <w:rPr>
          <w:color w:val="000000"/>
          <w:sz w:val="28"/>
          <w:szCs w:val="28"/>
        </w:rPr>
        <w:t xml:space="preserve"> </w:t>
      </w:r>
      <w:r w:rsidR="00D72BEE" w:rsidRPr="00D72BEE">
        <w:rPr>
          <w:color w:val="000000"/>
          <w:sz w:val="28"/>
          <w:szCs w:val="28"/>
          <w:lang w:val="vi-VN"/>
        </w:rPr>
        <w:t>quyết định chuyển đổi.</w:t>
      </w:r>
    </w:p>
    <w:p w14:paraId="11392CF9" w14:textId="02A672D7" w:rsidR="00D72BEE" w:rsidRPr="00BF1458" w:rsidRDefault="0085358E" w:rsidP="00D72BEE">
      <w:pPr>
        <w:pStyle w:val="NormalWeb"/>
        <w:shd w:val="clear" w:color="auto" w:fill="FFFFFF"/>
        <w:spacing w:before="120" w:beforeAutospacing="0" w:after="120" w:afterAutospacing="0" w:line="234" w:lineRule="atLeast"/>
        <w:ind w:firstLine="567"/>
        <w:jc w:val="both"/>
        <w:rPr>
          <w:color w:val="000000"/>
          <w:sz w:val="28"/>
          <w:szCs w:val="28"/>
        </w:rPr>
      </w:pPr>
      <w:r w:rsidRPr="00D72BEE">
        <w:rPr>
          <w:b/>
          <w:sz w:val="28"/>
          <w:szCs w:val="28"/>
        </w:rPr>
        <w:t>B</w:t>
      </w:r>
      <w:r w:rsidRPr="00D72BEE">
        <w:rPr>
          <w:b/>
          <w:sz w:val="28"/>
          <w:szCs w:val="28"/>
        </w:rPr>
        <w:t>ước 3</w:t>
      </w:r>
      <w:r w:rsidRPr="00D72BEE">
        <w:rPr>
          <w:sz w:val="28"/>
          <w:szCs w:val="28"/>
        </w:rPr>
        <w:t xml:space="preserve">: </w:t>
      </w:r>
      <w:r w:rsidR="00D72BEE" w:rsidRPr="00D72BEE">
        <w:rPr>
          <w:color w:val="000000"/>
          <w:sz w:val="28"/>
          <w:szCs w:val="28"/>
          <w:lang w:val="vi-VN"/>
        </w:rPr>
        <w:t>Trường</w:t>
      </w:r>
      <w:r w:rsidR="00D72BEE" w:rsidRPr="00BF1458">
        <w:rPr>
          <w:color w:val="000000"/>
          <w:sz w:val="28"/>
          <w:szCs w:val="28"/>
          <w:lang w:val="vi-VN"/>
        </w:rPr>
        <w:t xml:space="preserve"> hợp hồ sơ không bảo đảm theo quy định, trong thời hạn 05 ngày làm việc tính từ ngày nhận hồ sơ, Ủy ban nhân dân cấp huyện</w:t>
      </w:r>
      <w:r w:rsidR="00D72BEE">
        <w:rPr>
          <w:color w:val="000000"/>
          <w:sz w:val="28"/>
          <w:szCs w:val="28"/>
        </w:rPr>
        <w:t xml:space="preserve"> </w:t>
      </w:r>
      <w:r w:rsidR="00D72BEE" w:rsidRPr="00BF1458">
        <w:rPr>
          <w:color w:val="000000"/>
          <w:sz w:val="28"/>
          <w:szCs w:val="28"/>
          <w:lang w:val="vi-VN"/>
        </w:rPr>
        <w:t>gửi văn bản thông báo cho nhà trẻ, trường mẫu giáo, trường mầm non tư thục và nêu rõ lý do.</w:t>
      </w:r>
    </w:p>
    <w:p w14:paraId="3E9A5A8B" w14:textId="3A1D4ADE" w:rsidR="00D72BEE" w:rsidRPr="00D72BEE" w:rsidRDefault="00D72BEE" w:rsidP="00D72BEE">
      <w:pPr>
        <w:ind w:left="-15" w:right="0" w:firstLine="566"/>
        <w:rPr>
          <w:b/>
        </w:rPr>
      </w:pPr>
      <w:r w:rsidRPr="00D72BEE">
        <w:rPr>
          <w:b/>
        </w:rPr>
        <w:t>2.</w:t>
      </w:r>
      <w:r>
        <w:rPr>
          <w:b/>
        </w:rPr>
        <w:t xml:space="preserve"> </w:t>
      </w:r>
      <w:r w:rsidR="0085358E" w:rsidRPr="00D72BEE">
        <w:rPr>
          <w:b/>
        </w:rPr>
        <w:t>Cách thức thực hiện:</w:t>
      </w:r>
      <w:r w:rsidR="0085358E" w:rsidRPr="00D72BEE">
        <w:rPr>
          <w:b/>
          <w:i/>
        </w:rPr>
        <w:t xml:space="preserve"> </w:t>
      </w:r>
      <w:r w:rsidRPr="00BF1458">
        <w:rPr>
          <w:szCs w:val="28"/>
          <w:lang w:val="vi-VN"/>
        </w:rPr>
        <w:t>Nộp trực tiếp tại Bộ phận tiếp nhận và trả kết cấp huyện</w:t>
      </w:r>
      <w:r w:rsidRPr="00BF1458">
        <w:rPr>
          <w:i/>
          <w:iCs/>
          <w:szCs w:val="28"/>
          <w:lang w:val="vi-VN"/>
        </w:rPr>
        <w:t>(Bộ phận một cửa cấp huyện)</w:t>
      </w:r>
      <w:r w:rsidRPr="00BF1458">
        <w:rPr>
          <w:szCs w:val="28"/>
          <w:lang w:val="vi-VN"/>
        </w:rPr>
        <w:t> hoặc gửi qua bưu điện </w:t>
      </w:r>
      <w:r w:rsidRPr="00BF1458">
        <w:rPr>
          <w:i/>
          <w:iCs/>
          <w:szCs w:val="28"/>
          <w:lang w:val="vi-VN"/>
        </w:rPr>
        <w:t>(Bộ phận một cửa cấp huyện)</w:t>
      </w:r>
      <w:r w:rsidRPr="00BF1458">
        <w:rPr>
          <w:szCs w:val="28"/>
          <w:lang w:val="vi-VN"/>
        </w:rPr>
        <w:t>.</w:t>
      </w:r>
    </w:p>
    <w:p w14:paraId="073B6BA7" w14:textId="3F2F3E4E" w:rsidR="0020106B" w:rsidRDefault="00D72BEE" w:rsidP="00D72BEE">
      <w:pPr>
        <w:spacing w:after="159"/>
        <w:ind w:left="-15" w:right="0" w:firstLine="566"/>
      </w:pPr>
      <w:r>
        <w:rPr>
          <w:b/>
        </w:rPr>
        <w:t xml:space="preserve">3. </w:t>
      </w:r>
      <w:r w:rsidR="0085358E">
        <w:rPr>
          <w:b/>
        </w:rPr>
        <w:t>Thành phần và số lượng hồ sơ:</w:t>
      </w:r>
      <w:r w:rsidR="0085358E">
        <w:rPr>
          <w:b/>
          <w:i/>
        </w:rPr>
        <w:t xml:space="preserve"> </w:t>
      </w:r>
    </w:p>
    <w:p w14:paraId="0E639718" w14:textId="171FEEDF"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D72BEE">
        <w:rPr>
          <w:b/>
          <w:color w:val="000000"/>
          <w:sz w:val="28"/>
          <w:szCs w:val="28"/>
        </w:rPr>
        <w:t xml:space="preserve">3.1. </w:t>
      </w:r>
      <w:r w:rsidRPr="00D72BEE">
        <w:rPr>
          <w:b/>
          <w:color w:val="000000"/>
          <w:sz w:val="28"/>
          <w:szCs w:val="28"/>
          <w:lang w:val="vi-VN"/>
        </w:rPr>
        <w:t>Thành phần hồ sơ gồm</w:t>
      </w:r>
      <w:r w:rsidRPr="00BF1458">
        <w:rPr>
          <w:color w:val="000000"/>
          <w:sz w:val="28"/>
          <w:szCs w:val="28"/>
          <w:lang w:val="vi-VN"/>
        </w:rPr>
        <w:t>:</w:t>
      </w:r>
    </w:p>
    <w:p w14:paraId="1DA83E93"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14:paraId="5A75527C"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14:paraId="61EA4B04"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Dự thảo quy chế tổ chức và hoạt động; dự thảo quy chế tài chính nội bộ của nhà trẻ, trường mẫu giáo, trường mầm non tư thục hoạt động không vì lợi nhuận.</w:t>
      </w:r>
    </w:p>
    <w:p w14:paraId="744CCED6"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xml:space="preserve">-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w:t>
      </w:r>
      <w:r w:rsidRPr="00BF1458">
        <w:rPr>
          <w:color w:val="000000"/>
          <w:sz w:val="28"/>
          <w:szCs w:val="28"/>
          <w:lang w:val="vi-VN"/>
        </w:rPr>
        <w:lastRenderedPageBreak/>
        <w:t>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14:paraId="41A7E7A5"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Báo cáo đánh giá tác động của việc chuyển đổi về nhân sự, tài chính, tài sản và phương án xử lý.</w:t>
      </w:r>
    </w:p>
    <w:p w14:paraId="616E812D" w14:textId="77777777"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BF1458">
        <w:rPr>
          <w:color w:val="000000"/>
          <w:sz w:val="28"/>
          <w:szCs w:val="28"/>
          <w:lang w:val="vi-VN"/>
        </w:rPr>
        <w:t>-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14:paraId="675E8C30" w14:textId="67B9F1CD" w:rsidR="00D72BEE" w:rsidRPr="00BF1458" w:rsidRDefault="00D72BEE" w:rsidP="00D72BEE">
      <w:pPr>
        <w:pStyle w:val="NormalWeb"/>
        <w:shd w:val="clear" w:color="auto" w:fill="FFFFFF"/>
        <w:spacing w:before="120" w:beforeAutospacing="0" w:after="120" w:afterAutospacing="0" w:line="234" w:lineRule="atLeast"/>
        <w:ind w:firstLine="566"/>
        <w:jc w:val="both"/>
        <w:rPr>
          <w:color w:val="000000"/>
          <w:sz w:val="28"/>
          <w:szCs w:val="28"/>
        </w:rPr>
      </w:pPr>
      <w:r w:rsidRPr="00D72BEE">
        <w:rPr>
          <w:b/>
          <w:color w:val="000000"/>
          <w:sz w:val="28"/>
          <w:szCs w:val="28"/>
        </w:rPr>
        <w:t>3.2.</w:t>
      </w:r>
      <w:r w:rsidRPr="00D72BEE">
        <w:rPr>
          <w:b/>
          <w:color w:val="000000"/>
          <w:sz w:val="28"/>
          <w:szCs w:val="28"/>
          <w:lang w:val="vi-VN"/>
        </w:rPr>
        <w:t>Số lượng</w:t>
      </w:r>
      <w:r w:rsidRPr="00BF1458">
        <w:rPr>
          <w:color w:val="000000"/>
          <w:sz w:val="28"/>
          <w:szCs w:val="28"/>
          <w:lang w:val="vi-VN"/>
        </w:rPr>
        <w:t>: 01 bộ hồ sơ.</w:t>
      </w:r>
    </w:p>
    <w:p w14:paraId="16CF35F5" w14:textId="77777777" w:rsidR="0020106B" w:rsidRDefault="0085358E">
      <w:pPr>
        <w:spacing w:after="121" w:line="259" w:lineRule="auto"/>
        <w:ind w:left="561" w:right="0"/>
        <w:jc w:val="left"/>
      </w:pPr>
      <w:r>
        <w:rPr>
          <w:b/>
        </w:rPr>
        <w:t>4. Thời hạn giải quyết:</w:t>
      </w:r>
      <w:r>
        <w:rPr>
          <w:b/>
          <w:i/>
        </w:rPr>
        <w:t xml:space="preserve"> </w:t>
      </w:r>
    </w:p>
    <w:p w14:paraId="4E91C035" w14:textId="1BD3F9F2"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 Trong thời hạn 20 ngày làm việc tính từ ngày nhận đủ hồ sơ theo quy định, Phòng Giáo dục và Đào tạo tổ chức thẩm định hồ sơ, trình Ủy ban nhân dân cấp huyện</w:t>
      </w:r>
      <w:r>
        <w:rPr>
          <w:color w:val="000000"/>
          <w:sz w:val="28"/>
          <w:szCs w:val="28"/>
        </w:rPr>
        <w:t xml:space="preserve"> </w:t>
      </w:r>
      <w:r w:rsidRPr="00BF1458">
        <w:rPr>
          <w:color w:val="000000"/>
          <w:sz w:val="28"/>
          <w:szCs w:val="28"/>
          <w:lang w:val="vi-VN"/>
        </w:rPr>
        <w:t>quyết định chuyển đổi.</w:t>
      </w:r>
    </w:p>
    <w:p w14:paraId="48879DFA" w14:textId="62346E95"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 Trường hợp hồ sơ không bảo đảm theo quy định, trong thời hạn 05 ngày làm việc tính từ ngày nhận hồ sơ, Ủy ban nhân dân cấp huyện</w:t>
      </w:r>
      <w:r>
        <w:rPr>
          <w:color w:val="000000"/>
          <w:sz w:val="28"/>
          <w:szCs w:val="28"/>
        </w:rPr>
        <w:t xml:space="preserve"> </w:t>
      </w:r>
      <w:r w:rsidRPr="00BF1458">
        <w:rPr>
          <w:color w:val="000000"/>
          <w:sz w:val="28"/>
          <w:szCs w:val="28"/>
          <w:lang w:val="vi-VN"/>
        </w:rPr>
        <w:t>gửi văn bản thông báo cho nhà trẻ, trường mẫu giáo, trường mầm non tư thục và nêu rõ lý do.</w:t>
      </w:r>
    </w:p>
    <w:p w14:paraId="77B421B8" w14:textId="77777777" w:rsidR="0020106B" w:rsidRDefault="0085358E">
      <w:pPr>
        <w:numPr>
          <w:ilvl w:val="0"/>
          <w:numId w:val="4"/>
        </w:numPr>
        <w:spacing w:after="173" w:line="259" w:lineRule="auto"/>
        <w:ind w:right="0" w:hanging="420"/>
        <w:jc w:val="left"/>
      </w:pPr>
      <w:r>
        <w:rPr>
          <w:b/>
        </w:rPr>
        <w:t>Đối tượng thực hiện thủ tục hành chính:</w:t>
      </w:r>
      <w:r>
        <w:rPr>
          <w:b/>
          <w:i/>
        </w:rPr>
        <w:t xml:space="preserve"> </w:t>
      </w:r>
    </w:p>
    <w:p w14:paraId="0D8F329B" w14:textId="77777777"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Nhà trẻ, trường mẫu giáo, trường mầm non tư thục do nhà đầu tư trong nước đầu tư và bảo đảm điều kiện hoạt động.</w:t>
      </w:r>
    </w:p>
    <w:p w14:paraId="2181BF4A" w14:textId="45BB8ABC" w:rsidR="0020106B" w:rsidRDefault="0085358E" w:rsidP="00D72BEE">
      <w:pPr>
        <w:numPr>
          <w:ilvl w:val="0"/>
          <w:numId w:val="4"/>
        </w:numPr>
        <w:spacing w:after="173" w:line="259" w:lineRule="auto"/>
        <w:ind w:right="0" w:hanging="420"/>
        <w:jc w:val="left"/>
      </w:pPr>
      <w:r>
        <w:rPr>
          <w:b/>
        </w:rPr>
        <w:t>Cơ quan thực hiện thủ tục hành chính:</w:t>
      </w:r>
      <w:r>
        <w:rPr>
          <w:b/>
          <w:i/>
        </w:rPr>
        <w:t xml:space="preserve"> </w:t>
      </w:r>
      <w:r>
        <w:t xml:space="preserve">Ủy ban nhân dân cấp huyện. </w:t>
      </w:r>
    </w:p>
    <w:p w14:paraId="09943D66" w14:textId="77777777" w:rsidR="0020106B" w:rsidRDefault="0085358E">
      <w:pPr>
        <w:numPr>
          <w:ilvl w:val="0"/>
          <w:numId w:val="4"/>
        </w:numPr>
        <w:spacing w:after="173" w:line="259" w:lineRule="auto"/>
        <w:ind w:right="0" w:hanging="420"/>
        <w:jc w:val="left"/>
      </w:pPr>
      <w:r>
        <w:rPr>
          <w:b/>
        </w:rPr>
        <w:t>Kết quả thực hiện thủ tục hành chính:</w:t>
      </w:r>
      <w:r>
        <w:rPr>
          <w:b/>
          <w:i/>
        </w:rPr>
        <w:t xml:space="preserve"> </w:t>
      </w:r>
    </w:p>
    <w:p w14:paraId="409DF054" w14:textId="77777777"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Quyết định của Chủ tịch Ủy ban nhân dân cấp huyện về việc chuyển đổi nhà trẻ, trường mẫu giáo, trường mầm non tư thục do nhà đầu tư trong nước đầu tư sang nhà trẻ, trường mẫu giáo, trường mầm non tư thục hoạt động không vì lợi nhuận.</w:t>
      </w:r>
    </w:p>
    <w:p w14:paraId="0619A8FA" w14:textId="77777777"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Quyết định chuyển đổi được công bố công khai trên Trang thông tin điện tử của Ủy ban nhân dân cấp huyện.</w:t>
      </w:r>
    </w:p>
    <w:p w14:paraId="3E2109CA" w14:textId="77777777" w:rsidR="0020106B" w:rsidRDefault="0085358E">
      <w:pPr>
        <w:numPr>
          <w:ilvl w:val="0"/>
          <w:numId w:val="4"/>
        </w:numPr>
        <w:spacing w:after="58" w:line="349" w:lineRule="auto"/>
        <w:ind w:right="0" w:hanging="420"/>
        <w:jc w:val="left"/>
      </w:pPr>
      <w:r>
        <w:rPr>
          <w:b/>
        </w:rPr>
        <w:t>Lệ phí:</w:t>
      </w:r>
      <w:r>
        <w:rPr>
          <w:b/>
          <w:i/>
        </w:rPr>
        <w:t xml:space="preserve"> </w:t>
      </w:r>
      <w:r>
        <w:t xml:space="preserve">Không. </w:t>
      </w:r>
    </w:p>
    <w:p w14:paraId="148163C6" w14:textId="77777777" w:rsidR="0020106B" w:rsidRDefault="0085358E">
      <w:pPr>
        <w:numPr>
          <w:ilvl w:val="0"/>
          <w:numId w:val="4"/>
        </w:numPr>
        <w:spacing w:after="173" w:line="259" w:lineRule="auto"/>
        <w:ind w:right="0" w:hanging="420"/>
        <w:jc w:val="left"/>
      </w:pPr>
      <w:r>
        <w:rPr>
          <w:b/>
        </w:rPr>
        <w:t>Yêu cầu,</w:t>
      </w:r>
      <w:r>
        <w:rPr>
          <w:b/>
        </w:rPr>
        <w:t xml:space="preserve"> điều kiện thực hiện thủ tục hành chính:</w:t>
      </w:r>
      <w:r>
        <w:rPr>
          <w:b/>
          <w:i/>
        </w:rPr>
        <w:t xml:space="preserve"> </w:t>
      </w:r>
    </w:p>
    <w:p w14:paraId="181629F4" w14:textId="77777777" w:rsidR="00D72BEE" w:rsidRPr="00BF1458" w:rsidRDefault="00D72BEE" w:rsidP="00D72BEE">
      <w:pPr>
        <w:pStyle w:val="NormalWeb"/>
        <w:shd w:val="clear" w:color="auto" w:fill="FFFFFF"/>
        <w:spacing w:before="120" w:beforeAutospacing="0" w:after="120" w:afterAutospacing="0" w:line="234" w:lineRule="atLeast"/>
        <w:ind w:firstLine="567"/>
        <w:jc w:val="both"/>
        <w:rPr>
          <w:color w:val="000000"/>
          <w:sz w:val="28"/>
          <w:szCs w:val="28"/>
        </w:rPr>
      </w:pPr>
      <w:r w:rsidRPr="00BF1458">
        <w:rPr>
          <w:color w:val="000000"/>
          <w:sz w:val="28"/>
          <w:szCs w:val="28"/>
          <w:lang w:val="vi-VN"/>
        </w:rPr>
        <w:t>Nhà trẻ, trường mẫu giáo, trường mầm non tư thục do nhà đầu tư trong nước đầu tư, bảo đảm điều kiện hoạt động.</w:t>
      </w:r>
    </w:p>
    <w:p w14:paraId="444AD749" w14:textId="77777777" w:rsidR="0020106B" w:rsidRDefault="0085358E">
      <w:pPr>
        <w:numPr>
          <w:ilvl w:val="0"/>
          <w:numId w:val="4"/>
        </w:numPr>
        <w:spacing w:after="173" w:line="259" w:lineRule="auto"/>
        <w:ind w:right="0" w:hanging="420"/>
        <w:jc w:val="left"/>
      </w:pPr>
      <w:r>
        <w:rPr>
          <w:b/>
        </w:rPr>
        <w:t>Căn cứ pháp lý thủ tục hành chính:</w:t>
      </w:r>
      <w:r>
        <w:rPr>
          <w:b/>
          <w:i/>
        </w:rPr>
        <w:t xml:space="preserve"> </w:t>
      </w:r>
    </w:p>
    <w:p w14:paraId="6904A0E2" w14:textId="4BDC6450" w:rsidR="0020106B" w:rsidRDefault="00D72BEE">
      <w:pPr>
        <w:spacing w:after="124" w:line="259" w:lineRule="auto"/>
        <w:ind w:left="566" w:right="0" w:firstLine="0"/>
        <w:jc w:val="left"/>
      </w:pPr>
      <w:r w:rsidRPr="00BF1458">
        <w:rPr>
          <w:szCs w:val="28"/>
          <w:lang w:val="vi-VN"/>
        </w:rPr>
        <w:t>Nghị định số </w:t>
      </w:r>
      <w:hyperlink r:id="rId8" w:tgtFrame="_blank" w:tooltip="Nghị định 84/2020/NĐ-CP" w:history="1">
        <w:r w:rsidRPr="00BF1458">
          <w:rPr>
            <w:rStyle w:val="Hyperlink"/>
            <w:color w:val="0E70C3"/>
            <w:szCs w:val="28"/>
            <w:lang w:val="vi-VN"/>
          </w:rPr>
          <w:t>84/2020/NĐ-CP</w:t>
        </w:r>
      </w:hyperlink>
      <w:r w:rsidRPr="00BF1458">
        <w:rPr>
          <w:szCs w:val="28"/>
          <w:lang w:val="vi-VN"/>
        </w:rPr>
        <w:t> ngày 17 tháng 7 năm 2020 của Chính phủ quy định chi tiết một số điều của Luật Giáo dục</w:t>
      </w:r>
      <w:r w:rsidR="0085358E">
        <w:rPr>
          <w:sz w:val="24"/>
        </w:rPr>
        <w:t xml:space="preserve"> </w:t>
      </w:r>
      <w:r w:rsidR="00DF0FBB">
        <w:rPr>
          <w:sz w:val="24"/>
        </w:rPr>
        <w:t>.</w:t>
      </w:r>
      <w:r w:rsidR="0085358E">
        <w:rPr>
          <w:sz w:val="24"/>
        </w:rPr>
        <w:t xml:space="preserve"> </w:t>
      </w:r>
    </w:p>
    <w:p w14:paraId="719CEF8A" w14:textId="77777777" w:rsidR="0020106B" w:rsidRDefault="0085358E">
      <w:pPr>
        <w:spacing w:after="127" w:line="259" w:lineRule="auto"/>
        <w:ind w:left="566" w:right="0" w:firstLine="0"/>
        <w:jc w:val="left"/>
      </w:pPr>
      <w:r>
        <w:rPr>
          <w:sz w:val="24"/>
        </w:rPr>
        <w:t xml:space="preserve"> </w:t>
      </w:r>
    </w:p>
    <w:tbl>
      <w:tblPr>
        <w:tblStyle w:val="TableGrid"/>
        <w:tblW w:w="9314" w:type="dxa"/>
        <w:tblInd w:w="0" w:type="dxa"/>
        <w:tblCellMar>
          <w:top w:w="22" w:type="dxa"/>
          <w:left w:w="0" w:type="dxa"/>
          <w:bottom w:w="0" w:type="dxa"/>
          <w:right w:w="0" w:type="dxa"/>
        </w:tblCellMar>
        <w:tblLook w:val="04A0" w:firstRow="1" w:lastRow="0" w:firstColumn="1" w:lastColumn="0" w:noHBand="0" w:noVBand="1"/>
      </w:tblPr>
      <w:tblGrid>
        <w:gridCol w:w="3402"/>
        <w:gridCol w:w="5912"/>
      </w:tblGrid>
      <w:tr w:rsidR="0020106B" w14:paraId="4F404D8B" w14:textId="77777777" w:rsidTr="00DF0FBB">
        <w:trPr>
          <w:trHeight w:val="1109"/>
        </w:trPr>
        <w:tc>
          <w:tcPr>
            <w:tcW w:w="3402" w:type="dxa"/>
            <w:tcBorders>
              <w:top w:val="nil"/>
              <w:left w:val="nil"/>
              <w:bottom w:val="nil"/>
              <w:right w:val="nil"/>
            </w:tcBorders>
          </w:tcPr>
          <w:p w14:paraId="6A5EC9C5" w14:textId="77777777" w:rsidR="0020106B" w:rsidRDefault="0085358E">
            <w:pPr>
              <w:spacing w:after="25" w:line="259" w:lineRule="auto"/>
              <w:ind w:left="0" w:right="0" w:firstLine="0"/>
              <w:jc w:val="left"/>
            </w:pPr>
            <w:bookmarkStart w:id="1" w:name="_GoBack"/>
            <w:bookmarkEnd w:id="1"/>
            <w:r>
              <w:lastRenderedPageBreak/>
              <w:t xml:space="preserve">UBND HUYỆN VĨNH CỬU </w:t>
            </w:r>
          </w:p>
          <w:p w14:paraId="516F7F27" w14:textId="462C24BD" w:rsidR="00DF0FBB" w:rsidRDefault="0085358E" w:rsidP="00DF0FBB">
            <w:pPr>
              <w:spacing w:after="7" w:line="259" w:lineRule="auto"/>
              <w:ind w:left="48" w:right="0" w:firstLine="0"/>
              <w:jc w:val="left"/>
              <w:rPr>
                <w:b/>
              </w:rPr>
            </w:pPr>
            <w:r>
              <w:rPr>
                <w:b/>
              </w:rPr>
              <w:t xml:space="preserve">TRƯỜNG </w:t>
            </w:r>
            <w:r w:rsidR="00DF0FBB">
              <w:rPr>
                <w:b/>
              </w:rPr>
              <w:t>MNTT</w:t>
            </w:r>
          </w:p>
          <w:p w14:paraId="3D34D57F" w14:textId="5D523862" w:rsidR="0020106B" w:rsidRDefault="0085358E" w:rsidP="00DF0FBB">
            <w:pPr>
              <w:spacing w:after="0" w:line="259" w:lineRule="auto"/>
              <w:ind w:left="0" w:right="357" w:firstLine="0"/>
              <w:jc w:val="center"/>
            </w:pPr>
            <w:r>
              <w:rPr>
                <w:b/>
              </w:rPr>
              <w:t xml:space="preserve"> </w:t>
            </w:r>
            <w:r>
              <w:rPr>
                <w:b/>
              </w:rPr>
              <w:t>-------</w:t>
            </w:r>
            <w:r>
              <w:t xml:space="preserve"> </w:t>
            </w:r>
          </w:p>
        </w:tc>
        <w:tc>
          <w:tcPr>
            <w:tcW w:w="5912" w:type="dxa"/>
            <w:tcBorders>
              <w:top w:val="nil"/>
              <w:left w:val="nil"/>
              <w:bottom w:val="nil"/>
              <w:right w:val="nil"/>
            </w:tcBorders>
          </w:tcPr>
          <w:p w14:paraId="2EEF4A05" w14:textId="77777777" w:rsidR="0020106B" w:rsidRDefault="0085358E">
            <w:pPr>
              <w:spacing w:after="10" w:line="259" w:lineRule="auto"/>
              <w:ind w:left="0" w:right="0" w:firstLine="0"/>
            </w:pPr>
            <w:r>
              <w:rPr>
                <w:b/>
              </w:rPr>
              <w:t>C</w:t>
            </w:r>
            <w:r>
              <w:rPr>
                <w:b/>
              </w:rPr>
              <w:t xml:space="preserve">ỘNG HÒA XÃ HỘI CHỦ NGHĨA VIỆT NAM </w:t>
            </w:r>
          </w:p>
          <w:p w14:paraId="2CF77656" w14:textId="77777777" w:rsidR="0020106B" w:rsidRDefault="0085358E">
            <w:pPr>
              <w:spacing w:after="0" w:line="259" w:lineRule="auto"/>
              <w:ind w:left="0" w:right="67" w:firstLine="0"/>
              <w:jc w:val="center"/>
            </w:pPr>
            <w:r>
              <w:rPr>
                <w:b/>
              </w:rPr>
              <w:t xml:space="preserve">Độc lập - Tự do - Hạnh phúc </w:t>
            </w:r>
          </w:p>
          <w:p w14:paraId="2C8396E3" w14:textId="77777777" w:rsidR="0020106B" w:rsidRDefault="0085358E">
            <w:pPr>
              <w:spacing w:after="0" w:line="259" w:lineRule="auto"/>
              <w:ind w:left="0" w:right="71" w:firstLine="0"/>
              <w:jc w:val="center"/>
            </w:pPr>
            <w:r>
              <w:rPr>
                <w:b/>
              </w:rPr>
              <w:t>---------------</w:t>
            </w:r>
            <w:r>
              <w:t xml:space="preserve"> </w:t>
            </w:r>
          </w:p>
        </w:tc>
      </w:tr>
      <w:tr w:rsidR="0020106B" w14:paraId="5D1C412D" w14:textId="77777777" w:rsidTr="00DF0FBB">
        <w:trPr>
          <w:trHeight w:val="409"/>
        </w:trPr>
        <w:tc>
          <w:tcPr>
            <w:tcW w:w="3402" w:type="dxa"/>
            <w:tcBorders>
              <w:top w:val="nil"/>
              <w:left w:val="nil"/>
              <w:bottom w:val="nil"/>
              <w:right w:val="nil"/>
            </w:tcBorders>
            <w:vAlign w:val="bottom"/>
          </w:tcPr>
          <w:p w14:paraId="70EBA77B" w14:textId="77777777" w:rsidR="0020106B" w:rsidRDefault="0085358E">
            <w:pPr>
              <w:spacing w:after="0" w:line="259" w:lineRule="auto"/>
              <w:ind w:left="0" w:right="67" w:firstLine="0"/>
              <w:jc w:val="center"/>
            </w:pPr>
            <w:r>
              <w:t xml:space="preserve">Số: ........./TTr- …… </w:t>
            </w:r>
          </w:p>
        </w:tc>
        <w:tc>
          <w:tcPr>
            <w:tcW w:w="5912" w:type="dxa"/>
            <w:tcBorders>
              <w:top w:val="nil"/>
              <w:left w:val="nil"/>
              <w:bottom w:val="nil"/>
              <w:right w:val="nil"/>
            </w:tcBorders>
            <w:vAlign w:val="bottom"/>
          </w:tcPr>
          <w:p w14:paraId="1B851FA8" w14:textId="77777777" w:rsidR="0020106B" w:rsidRDefault="0085358E">
            <w:pPr>
              <w:spacing w:after="0" w:line="259" w:lineRule="auto"/>
              <w:ind w:left="0" w:right="27" w:firstLine="0"/>
              <w:jc w:val="center"/>
            </w:pPr>
            <w:r>
              <w:rPr>
                <w:i/>
              </w:rPr>
              <w:t xml:space="preserve">              ......, ngày... tháng... năm 20......</w:t>
            </w:r>
            <w:r>
              <w:t xml:space="preserve"> </w:t>
            </w:r>
          </w:p>
        </w:tc>
      </w:tr>
    </w:tbl>
    <w:p w14:paraId="795A38BC" w14:textId="0C8AA904" w:rsidR="00DF0FBB" w:rsidRDefault="0085358E" w:rsidP="0085358E">
      <w:pPr>
        <w:spacing w:after="287" w:line="282" w:lineRule="auto"/>
        <w:ind w:left="1133" w:right="5473" w:hanging="1032"/>
        <w:jc w:val="left"/>
      </w:pPr>
      <w:r>
        <w:rPr>
          <w:sz w:val="24"/>
        </w:rPr>
        <w:t xml:space="preserve">V/v đề nghị chuyển đổi trường </w:t>
      </w:r>
      <w:r w:rsidR="00DF0FBB">
        <w:rPr>
          <w:sz w:val="24"/>
        </w:rPr>
        <w:t xml:space="preserve">mầm non </w:t>
      </w:r>
      <w:r>
        <w:rPr>
          <w:sz w:val="24"/>
        </w:rPr>
        <w:t xml:space="preserve">tư thục </w:t>
      </w:r>
      <w:r w:rsidR="00DF0FBB">
        <w:rPr>
          <w:sz w:val="24"/>
        </w:rPr>
        <w:t>….</w:t>
      </w:r>
      <w:r>
        <w:rPr>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DF0FBB" w14:paraId="7B70D5D0" w14:textId="77777777" w:rsidTr="00DF0FBB">
        <w:tc>
          <w:tcPr>
            <w:tcW w:w="3964" w:type="dxa"/>
          </w:tcPr>
          <w:p w14:paraId="1A167602" w14:textId="6CD67771" w:rsidR="00DF0FBB" w:rsidRDefault="00DF0FBB" w:rsidP="00DF0FBB">
            <w:pPr>
              <w:spacing w:after="119" w:line="259" w:lineRule="auto"/>
              <w:ind w:left="0" w:right="0" w:firstLine="0"/>
              <w:jc w:val="right"/>
            </w:pPr>
            <w:r>
              <w:t xml:space="preserve">Kính gửi:  </w:t>
            </w:r>
          </w:p>
        </w:tc>
        <w:tc>
          <w:tcPr>
            <w:tcW w:w="5245" w:type="dxa"/>
          </w:tcPr>
          <w:p w14:paraId="2D78F3DE" w14:textId="77777777" w:rsidR="00DF0FBB" w:rsidRDefault="00DF0FBB" w:rsidP="00DF0FBB">
            <w:pPr>
              <w:spacing w:after="0" w:line="259" w:lineRule="auto"/>
              <w:ind w:right="1"/>
            </w:pPr>
          </w:p>
          <w:p w14:paraId="4B5D3944" w14:textId="439104FB" w:rsidR="00DF0FBB" w:rsidRDefault="00DF0FBB" w:rsidP="00DF0FBB">
            <w:pPr>
              <w:spacing w:after="0" w:line="259" w:lineRule="auto"/>
              <w:ind w:right="1"/>
            </w:pPr>
            <w:r>
              <w:t xml:space="preserve">- </w:t>
            </w:r>
            <w:r>
              <w:t xml:space="preserve">UBND huyện Vĩnh Cửu. </w:t>
            </w:r>
          </w:p>
          <w:p w14:paraId="68D53C1C" w14:textId="07B62EE4" w:rsidR="00DF0FBB" w:rsidRDefault="00DF0FBB" w:rsidP="00DF0FBB">
            <w:pPr>
              <w:spacing w:after="0" w:line="259" w:lineRule="auto"/>
              <w:ind w:right="1"/>
            </w:pPr>
            <w:r>
              <w:t xml:space="preserve">- </w:t>
            </w:r>
            <w:r>
              <w:t xml:space="preserve">Phòng Giáo dục và Đào tạo Vĩnh Cửu; </w:t>
            </w:r>
          </w:p>
          <w:p w14:paraId="6AB9F820" w14:textId="77777777" w:rsidR="00DF0FBB" w:rsidRDefault="00DF0FBB">
            <w:pPr>
              <w:spacing w:after="119" w:line="259" w:lineRule="auto"/>
              <w:ind w:left="0" w:right="0" w:firstLine="0"/>
              <w:jc w:val="left"/>
            </w:pPr>
          </w:p>
        </w:tc>
      </w:tr>
    </w:tbl>
    <w:p w14:paraId="5B73B29E" w14:textId="2022B42D" w:rsidR="0020106B" w:rsidRDefault="0085358E" w:rsidP="004F4262">
      <w:pPr>
        <w:spacing w:after="173" w:line="259" w:lineRule="auto"/>
        <w:ind w:left="566" w:right="0" w:firstLine="0"/>
        <w:jc w:val="left"/>
      </w:pPr>
      <w:r>
        <w:t xml:space="preserve"> </w:t>
      </w:r>
      <w:r>
        <w:t>Căn cứ</w:t>
      </w:r>
      <w:r>
        <w:t xml:space="preserve"> Luật Giáo dục 2019</w:t>
      </w:r>
      <w:r w:rsidR="004F4262">
        <w:t>;</w:t>
      </w:r>
    </w:p>
    <w:p w14:paraId="6E66DB37" w14:textId="1603A2F1" w:rsidR="004F4262" w:rsidRPr="004F4262" w:rsidRDefault="004F4262" w:rsidP="004F4262">
      <w:pPr>
        <w:spacing w:after="173" w:line="259" w:lineRule="auto"/>
        <w:ind w:left="566" w:right="0" w:firstLine="0"/>
        <w:jc w:val="left"/>
      </w:pPr>
      <w:r>
        <w:t xml:space="preserve">Căn cứ </w:t>
      </w:r>
      <w:r w:rsidRPr="00BF1458">
        <w:rPr>
          <w:szCs w:val="28"/>
          <w:lang w:val="vi-VN"/>
        </w:rPr>
        <w:t>Nghị định số </w:t>
      </w:r>
      <w:hyperlink r:id="rId9" w:tgtFrame="_blank" w:tooltip="Nghị định 84/2020/NĐ-CP" w:history="1">
        <w:r w:rsidRPr="00BF1458">
          <w:rPr>
            <w:rStyle w:val="Hyperlink"/>
            <w:color w:val="0E70C3"/>
            <w:szCs w:val="28"/>
            <w:lang w:val="vi-VN"/>
          </w:rPr>
          <w:t>84/2020/NĐ-CP</w:t>
        </w:r>
      </w:hyperlink>
      <w:r w:rsidRPr="00BF1458">
        <w:rPr>
          <w:szCs w:val="28"/>
          <w:lang w:val="vi-VN"/>
        </w:rPr>
        <w:t> ngày 17 tháng 7 năm 2020 của Chính phủ quy định chi tiết một số điều của Luật Giáo dục</w:t>
      </w:r>
      <w:r>
        <w:rPr>
          <w:szCs w:val="28"/>
        </w:rPr>
        <w:t>;</w:t>
      </w:r>
    </w:p>
    <w:p w14:paraId="00984120" w14:textId="23193003" w:rsidR="0020106B" w:rsidRDefault="0085358E">
      <w:pPr>
        <w:spacing w:after="5"/>
        <w:ind w:left="-15" w:right="0" w:firstLine="566"/>
      </w:pPr>
      <w:r>
        <w:t xml:space="preserve">Tổ chức, cá nhân … kính trình Phòng Giáo dục và Đào tạo thẩm định, tham mưu </w:t>
      </w:r>
      <w:r w:rsidR="004F4262" w:rsidRPr="00BF1458">
        <w:rPr>
          <w:szCs w:val="28"/>
          <w:lang w:val="vi-VN"/>
        </w:rPr>
        <w:t>chuyển đổi nhà trẻ, trường mẫu giáo, trường mầm non tư thục do nhà đầu tư trong nước đầu tư sang nhà trẻ, trường mẫu giáo, trường mầm non tư thục hoạt động không vì lợi nhuận</w:t>
      </w:r>
      <w:r>
        <w:t xml:space="preserve">, nội dung cụ thể như sau: </w:t>
      </w:r>
    </w:p>
    <w:p w14:paraId="6C07276A" w14:textId="656ECEAC" w:rsidR="0020106B" w:rsidRDefault="0085358E">
      <w:pPr>
        <w:spacing w:after="152"/>
        <w:ind w:left="-15" w:right="0" w:firstLine="566"/>
      </w:pPr>
      <w:r>
        <w:t>1. Tê</w:t>
      </w:r>
      <w:r>
        <w:t xml:space="preserve">n </w:t>
      </w:r>
      <w:r w:rsidR="004F4262" w:rsidRPr="00BF1458">
        <w:rPr>
          <w:szCs w:val="28"/>
          <w:lang w:val="vi-VN"/>
        </w:rPr>
        <w:t>nhà trẻ, trường mẫu giáo, trường mầm non tư thục do nhà đầu tư trong nước đầu tư sang nhà trẻ, trường mẫu giáo, trường mầm non tư thục hoạt động không vì lợi nhuận</w:t>
      </w:r>
      <w:r>
        <w:t xml:space="preserve"> đề nghị chuyển đổi:  Trường </w:t>
      </w:r>
      <w:r w:rsidR="004F4262">
        <w:t>Mầm non tư thục……</w:t>
      </w:r>
      <w:r>
        <w:t xml:space="preserve"> </w:t>
      </w:r>
    </w:p>
    <w:p w14:paraId="697FEF97" w14:textId="0A6E55C2" w:rsidR="0020106B" w:rsidRDefault="0085358E">
      <w:pPr>
        <w:numPr>
          <w:ilvl w:val="0"/>
          <w:numId w:val="5"/>
        </w:numPr>
        <w:ind w:left="729" w:right="0" w:hanging="163"/>
      </w:pPr>
      <w:r>
        <w:t xml:space="preserve">Loại hình </w:t>
      </w:r>
      <w:r>
        <w:t>:……</w:t>
      </w:r>
      <w:r w:rsidR="004F4262">
        <w:t>Tư thục</w:t>
      </w:r>
      <w:r>
        <w:t xml:space="preserve">………….…….. </w:t>
      </w:r>
    </w:p>
    <w:p w14:paraId="6C175064" w14:textId="45DCB138" w:rsidR="0020106B" w:rsidRDefault="0085358E">
      <w:pPr>
        <w:numPr>
          <w:ilvl w:val="0"/>
          <w:numId w:val="5"/>
        </w:numPr>
        <w:spacing w:after="132"/>
        <w:ind w:left="729" w:right="0" w:hanging="163"/>
      </w:pPr>
      <w:r>
        <w:t>Cơ quan, đơn vị chủ quản (đầu tư)</w:t>
      </w:r>
      <w:r w:rsidR="004F4262">
        <w:t>:</w:t>
      </w:r>
      <w:r>
        <w:t>…………………………</w:t>
      </w:r>
      <w:r>
        <w:t xml:space="preserve">………………. </w:t>
      </w:r>
    </w:p>
    <w:p w14:paraId="5573F2AE" w14:textId="77777777" w:rsidR="0020106B" w:rsidRDefault="0085358E">
      <w:pPr>
        <w:numPr>
          <w:ilvl w:val="0"/>
          <w:numId w:val="5"/>
        </w:numPr>
        <w:spacing w:after="156"/>
        <w:ind w:left="729" w:right="0" w:hanging="163"/>
      </w:pPr>
      <w:r>
        <w:t xml:space="preserve">Địa chỉ trụ sở: khu phố 8, thị trấn Vĩnh An. </w:t>
      </w:r>
    </w:p>
    <w:p w14:paraId="5C31DBD8" w14:textId="77777777" w:rsidR="0020106B" w:rsidRDefault="0085358E">
      <w:pPr>
        <w:numPr>
          <w:ilvl w:val="0"/>
          <w:numId w:val="5"/>
        </w:numPr>
        <w:spacing w:after="111"/>
        <w:ind w:left="729" w:right="0" w:hanging="163"/>
      </w:pPr>
      <w:r>
        <w:t xml:space="preserve">Số điện thoại: 0123xxxxxx </w:t>
      </w:r>
      <w:r>
        <w:tab/>
        <w:t xml:space="preserve"> </w:t>
      </w:r>
      <w:r>
        <w:tab/>
        <w:t xml:space="preserve">, Fax:................................................ </w:t>
      </w:r>
    </w:p>
    <w:p w14:paraId="7FCBD71D" w14:textId="77777777" w:rsidR="0020106B" w:rsidRDefault="0085358E">
      <w:pPr>
        <w:numPr>
          <w:ilvl w:val="0"/>
          <w:numId w:val="5"/>
        </w:numPr>
        <w:spacing w:after="144"/>
        <w:ind w:left="729" w:right="0" w:hanging="163"/>
      </w:pPr>
      <w:r>
        <w:t xml:space="preserve">Website:.............................................., Email:............................................... </w:t>
      </w:r>
    </w:p>
    <w:p w14:paraId="4A087815" w14:textId="77777777" w:rsidR="0020106B" w:rsidRDefault="0085358E">
      <w:pPr>
        <w:numPr>
          <w:ilvl w:val="0"/>
          <w:numId w:val="6"/>
        </w:numPr>
        <w:spacing w:after="226"/>
        <w:ind w:right="0" w:hanging="281"/>
      </w:pPr>
      <w:r>
        <w:t xml:space="preserve">Mục đích chuyển đổi  </w:t>
      </w:r>
    </w:p>
    <w:p w14:paraId="41F3A3E8" w14:textId="77777777" w:rsidR="0020106B" w:rsidRDefault="0085358E">
      <w:pPr>
        <w:ind w:left="576" w:right="0"/>
      </w:pPr>
      <w:r>
        <w:t xml:space="preserve">……………………………………………………………………………….. </w:t>
      </w:r>
    </w:p>
    <w:p w14:paraId="3AE3D2CC" w14:textId="77777777" w:rsidR="0020106B" w:rsidRDefault="0085358E">
      <w:pPr>
        <w:numPr>
          <w:ilvl w:val="0"/>
          <w:numId w:val="6"/>
        </w:numPr>
        <w:ind w:right="0" w:hanging="281"/>
      </w:pPr>
      <w:r>
        <w:t xml:space="preserve">Nội dung đề nghị: </w:t>
      </w:r>
    </w:p>
    <w:p w14:paraId="511ABBF1" w14:textId="77777777" w:rsidR="0020106B" w:rsidRDefault="0085358E">
      <w:pPr>
        <w:spacing w:after="201" w:line="265" w:lineRule="auto"/>
        <w:ind w:left="-15" w:right="0" w:firstLine="566"/>
      </w:pPr>
      <w:r>
        <w:t>(</w:t>
      </w:r>
      <w:r>
        <w:rPr>
          <w:i/>
        </w:rPr>
        <w:t xml:space="preserve">Nêu rõ sự cần thiết phải chuyển đổi; tôn chỉ, mục đích hoạt động không vì lợi nhuận; phần vốn góp, phần tài sản thuộc sở hữu chung hợp nhất không phân chia của nhà trẻ, trường mẫu </w:t>
      </w:r>
      <w:r>
        <w:rPr>
          <w:i/>
        </w:rPr>
        <w:t>giáo, trường mầm non tư thục (nếu có)).</w:t>
      </w:r>
      <w:r>
        <w:t xml:space="preserve"> </w:t>
      </w:r>
    </w:p>
    <w:p w14:paraId="09A8F29B" w14:textId="77777777" w:rsidR="0020106B" w:rsidRDefault="0085358E">
      <w:pPr>
        <w:ind w:left="576" w:right="0"/>
      </w:pPr>
      <w:r>
        <w:t xml:space="preserve">……………………………………………………………………………….. </w:t>
      </w:r>
    </w:p>
    <w:p w14:paraId="2CFAB192" w14:textId="77777777" w:rsidR="0020106B" w:rsidRDefault="0085358E">
      <w:pPr>
        <w:spacing w:after="126"/>
        <w:ind w:left="576" w:right="0"/>
      </w:pPr>
      <w:r>
        <w:t xml:space="preserve">Trân trọng! </w:t>
      </w:r>
    </w:p>
    <w:p w14:paraId="287AEC9B" w14:textId="77777777" w:rsidR="0020106B" w:rsidRDefault="0085358E">
      <w:pPr>
        <w:spacing w:after="294" w:line="265" w:lineRule="auto"/>
        <w:ind w:left="572" w:right="0"/>
      </w:pPr>
      <w:r>
        <w:rPr>
          <w:i/>
        </w:rPr>
        <w:t xml:space="preserve">(Kèm theo các giấy tờ liên quan)./. </w:t>
      </w:r>
    </w:p>
    <w:p w14:paraId="0ED3C37D" w14:textId="77777777" w:rsidR="0020106B" w:rsidRDefault="0085358E">
      <w:pPr>
        <w:tabs>
          <w:tab w:val="center" w:pos="6766"/>
        </w:tabs>
        <w:spacing w:after="62" w:line="259" w:lineRule="auto"/>
        <w:ind w:left="0" w:right="0" w:firstLine="0"/>
        <w:jc w:val="left"/>
      </w:pPr>
      <w:r>
        <w:rPr>
          <w:b/>
          <w:i/>
        </w:rPr>
        <w:lastRenderedPageBreak/>
        <w:t xml:space="preserve"> </w:t>
      </w:r>
      <w:r>
        <w:rPr>
          <w:b/>
          <w:i/>
        </w:rPr>
        <w:tab/>
      </w:r>
      <w:r>
        <w:rPr>
          <w:b/>
        </w:rPr>
        <w:t xml:space="preserve">CHỨC DANH NGƯỜI ĐỨNG ĐẦU </w:t>
      </w:r>
    </w:p>
    <w:p w14:paraId="6CFF4955" w14:textId="77777777" w:rsidR="0020106B" w:rsidRDefault="0085358E">
      <w:pPr>
        <w:tabs>
          <w:tab w:val="center" w:pos="6769"/>
        </w:tabs>
        <w:spacing w:after="59" w:line="259" w:lineRule="auto"/>
        <w:ind w:left="0" w:right="0" w:firstLine="0"/>
        <w:jc w:val="left"/>
      </w:pPr>
      <w:r>
        <w:rPr>
          <w:b/>
          <w:i/>
          <w:sz w:val="24"/>
        </w:rPr>
        <w:t>Nơi nhận:</w:t>
      </w:r>
      <w:r>
        <w:rPr>
          <w:b/>
          <w:i/>
        </w:rPr>
        <w:t xml:space="preserve"> </w:t>
      </w:r>
      <w:r>
        <w:rPr>
          <w:b/>
          <w:i/>
        </w:rPr>
        <w:tab/>
      </w:r>
      <w:r>
        <w:rPr>
          <w:b/>
        </w:rPr>
        <w:t xml:space="preserve">CƠ SỞ ĐỀ NGHỊ </w:t>
      </w:r>
    </w:p>
    <w:p w14:paraId="18AD2131" w14:textId="0F5BFC53" w:rsidR="0020106B" w:rsidRDefault="0085358E">
      <w:pPr>
        <w:numPr>
          <w:ilvl w:val="0"/>
          <w:numId w:val="7"/>
        </w:numPr>
        <w:spacing w:after="0" w:line="265" w:lineRule="auto"/>
        <w:ind w:right="0" w:hanging="127"/>
        <w:jc w:val="left"/>
      </w:pPr>
      <w:r>
        <w:rPr>
          <w:vertAlign w:val="superscript"/>
        </w:rPr>
        <w:t xml:space="preserve">.... </w:t>
      </w:r>
      <w:r>
        <w:rPr>
          <w:vertAlign w:val="superscript"/>
        </w:rPr>
        <w:tab/>
      </w:r>
      <w:r w:rsidR="004F4262">
        <w:rPr>
          <w:vertAlign w:val="superscript"/>
        </w:rPr>
        <w:tab/>
      </w:r>
      <w:r w:rsidR="004F4262">
        <w:rPr>
          <w:vertAlign w:val="superscript"/>
        </w:rPr>
        <w:tab/>
      </w:r>
      <w:r w:rsidR="004F4262">
        <w:rPr>
          <w:vertAlign w:val="superscript"/>
        </w:rPr>
        <w:tab/>
      </w:r>
      <w:r w:rsidR="004F4262">
        <w:rPr>
          <w:vertAlign w:val="superscript"/>
        </w:rPr>
        <w:tab/>
      </w:r>
      <w:r w:rsidR="004F4262">
        <w:rPr>
          <w:vertAlign w:val="superscript"/>
        </w:rPr>
        <w:tab/>
      </w:r>
      <w:r w:rsidR="004F4262">
        <w:rPr>
          <w:vertAlign w:val="superscript"/>
        </w:rPr>
        <w:tab/>
      </w:r>
      <w:r w:rsidR="004F4262">
        <w:rPr>
          <w:i/>
        </w:rPr>
        <w:t>(</w:t>
      </w:r>
      <w:r>
        <w:rPr>
          <w:i/>
        </w:rPr>
        <w:t>Ký tên, đóng dấu, ghi rõ họ tên)</w:t>
      </w:r>
      <w:r>
        <w:t xml:space="preserve"> </w:t>
      </w:r>
    </w:p>
    <w:p w14:paraId="44DF0A13" w14:textId="77777777" w:rsidR="0020106B" w:rsidRDefault="0085358E">
      <w:pPr>
        <w:numPr>
          <w:ilvl w:val="0"/>
          <w:numId w:val="7"/>
        </w:numPr>
        <w:spacing w:after="228" w:line="259" w:lineRule="auto"/>
        <w:ind w:right="0" w:hanging="127"/>
        <w:jc w:val="left"/>
      </w:pPr>
      <w:r>
        <w:rPr>
          <w:sz w:val="22"/>
        </w:rPr>
        <w:t>.....</w:t>
      </w:r>
      <w:r>
        <w:t xml:space="preserve"> </w:t>
      </w:r>
    </w:p>
    <w:p w14:paraId="3B925A5D" w14:textId="77777777" w:rsidR="0020106B" w:rsidRDefault="0085358E">
      <w:pPr>
        <w:spacing w:after="78" w:line="259" w:lineRule="auto"/>
        <w:ind w:left="69" w:right="0" w:firstLine="0"/>
        <w:jc w:val="center"/>
      </w:pPr>
      <w:r>
        <w:t xml:space="preserve"> </w:t>
      </w:r>
    </w:p>
    <w:p w14:paraId="78A164FE" w14:textId="77777777" w:rsidR="0020106B" w:rsidRDefault="0085358E">
      <w:pPr>
        <w:spacing w:after="0" w:line="259" w:lineRule="auto"/>
        <w:ind w:left="566" w:right="0" w:firstLine="0"/>
        <w:jc w:val="left"/>
      </w:pPr>
      <w:r>
        <w:rPr>
          <w:sz w:val="24"/>
        </w:rPr>
        <w:t xml:space="preserve"> </w:t>
      </w:r>
    </w:p>
    <w:sectPr w:rsidR="0020106B" w:rsidSect="0085358E">
      <w:pgSz w:w="11906" w:h="16841"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BA1"/>
    <w:multiLevelType w:val="hybridMultilevel"/>
    <w:tmpl w:val="54107606"/>
    <w:lvl w:ilvl="0" w:tplc="30707FFC">
      <w:start w:val="2"/>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AC7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295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081B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EC2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E2C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DE7D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A746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A3BD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5618A2"/>
    <w:multiLevelType w:val="hybridMultilevel"/>
    <w:tmpl w:val="7BEA6796"/>
    <w:lvl w:ilvl="0" w:tplc="7612322E">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83CE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4B17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4EF9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C44E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1846C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5209A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6BA1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52700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66731B"/>
    <w:multiLevelType w:val="hybridMultilevel"/>
    <w:tmpl w:val="4A66845A"/>
    <w:lvl w:ilvl="0" w:tplc="EB826D04">
      <w:start w:val="1"/>
      <w:numFmt w:val="lowerLetter"/>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EC43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856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670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275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A68A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EF9E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CF24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1A1B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3936BD"/>
    <w:multiLevelType w:val="hybridMultilevel"/>
    <w:tmpl w:val="6F7E9FDE"/>
    <w:lvl w:ilvl="0" w:tplc="6FA8E164">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2899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E8F5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82C1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499D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4204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818A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C823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9ED70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36C477E"/>
    <w:multiLevelType w:val="hybridMultilevel"/>
    <w:tmpl w:val="FBBC1F06"/>
    <w:lvl w:ilvl="0" w:tplc="AE6C040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1" w:tplc="177C2F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2" w:tplc="13E6A0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3" w:tplc="535A0A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4" w:tplc="310629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5" w:tplc="C73E3C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6" w:tplc="B9E294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7" w:tplc="501A68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8" w:tplc="A00449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abstractNum>
  <w:abstractNum w:abstractNumId="5" w15:restartNumberingAfterBreak="0">
    <w:nsid w:val="4E555742"/>
    <w:multiLevelType w:val="hybridMultilevel"/>
    <w:tmpl w:val="6ED2CB8A"/>
    <w:lvl w:ilvl="0" w:tplc="23608ADE">
      <w:start w:val="5"/>
      <w:numFmt w:val="decimal"/>
      <w:lvlText w:val="%1."/>
      <w:lvlJc w:val="left"/>
      <w:pPr>
        <w:ind w:left="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089AAC">
      <w:start w:val="1"/>
      <w:numFmt w:val="bullet"/>
      <w:lvlText w:val="-"/>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E785C">
      <w:start w:val="1"/>
      <w:numFmt w:val="bullet"/>
      <w:lvlText w:val="▪"/>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E9A0C">
      <w:start w:val="1"/>
      <w:numFmt w:val="bullet"/>
      <w:lvlText w:val="•"/>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0E1BE8">
      <w:start w:val="1"/>
      <w:numFmt w:val="bullet"/>
      <w:lvlText w:val="o"/>
      <w:lvlJc w:val="left"/>
      <w:pPr>
        <w:ind w:left="6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E5ADC">
      <w:start w:val="1"/>
      <w:numFmt w:val="bullet"/>
      <w:lvlText w:val="▪"/>
      <w:lvlJc w:val="left"/>
      <w:pPr>
        <w:ind w:left="7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AC70A">
      <w:start w:val="1"/>
      <w:numFmt w:val="bullet"/>
      <w:lvlText w:val="•"/>
      <w:lvlJc w:val="left"/>
      <w:pPr>
        <w:ind w:left="8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27188">
      <w:start w:val="1"/>
      <w:numFmt w:val="bullet"/>
      <w:lvlText w:val="o"/>
      <w:lvlJc w:val="left"/>
      <w:pPr>
        <w:ind w:left="9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69102">
      <w:start w:val="1"/>
      <w:numFmt w:val="bullet"/>
      <w:lvlText w:val="▪"/>
      <w:lvlJc w:val="left"/>
      <w:pPr>
        <w:ind w:left="9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CAE49DF"/>
    <w:multiLevelType w:val="hybridMultilevel"/>
    <w:tmpl w:val="8B06C5A4"/>
    <w:lvl w:ilvl="0" w:tplc="B80AD400">
      <w:start w:val="1"/>
      <w:numFmt w:val="decimal"/>
      <w:lvlText w:val="%1."/>
      <w:lvlJc w:val="left"/>
      <w:pPr>
        <w:ind w:left="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15A4072">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CC21D4">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92318E">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7C7690">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96E396">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C8DAB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0CCD56">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02CA86">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6B"/>
    <w:rsid w:val="0020106B"/>
    <w:rsid w:val="004F4262"/>
    <w:rsid w:val="0085358E"/>
    <w:rsid w:val="00AF77D6"/>
    <w:rsid w:val="00D000EB"/>
    <w:rsid w:val="00D72BEE"/>
    <w:rsid w:val="00DF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087D"/>
  <w15:docId w15:val="{B6F961C0-BB12-455B-B8E9-B47E5A35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8" w:lineRule="auto"/>
      <w:ind w:left="10" w:right="11"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D72BEE"/>
    <w:pPr>
      <w:spacing w:before="100" w:beforeAutospacing="1" w:after="100" w:afterAutospacing="1" w:line="240" w:lineRule="auto"/>
      <w:ind w:left="0" w:right="0" w:firstLine="0"/>
      <w:jc w:val="left"/>
    </w:pPr>
    <w:rPr>
      <w:color w:val="auto"/>
      <w:sz w:val="24"/>
      <w:szCs w:val="24"/>
    </w:rPr>
  </w:style>
  <w:style w:type="paragraph" w:styleId="ListParagraph">
    <w:name w:val="List Paragraph"/>
    <w:basedOn w:val="Normal"/>
    <w:uiPriority w:val="34"/>
    <w:qFormat/>
    <w:rsid w:val="00D72BEE"/>
    <w:pPr>
      <w:ind w:left="720"/>
      <w:contextualSpacing/>
    </w:pPr>
  </w:style>
  <w:style w:type="character" w:styleId="Hyperlink">
    <w:name w:val="Hyperlink"/>
    <w:uiPriority w:val="99"/>
    <w:semiHidden/>
    <w:unhideWhenUsed/>
    <w:rsid w:val="00D72BEE"/>
    <w:rPr>
      <w:color w:val="0000FF"/>
      <w:u w:val="single"/>
    </w:rPr>
  </w:style>
  <w:style w:type="table" w:styleId="TableGrid0">
    <w:name w:val="Table Grid"/>
    <w:basedOn w:val="TableNormal"/>
    <w:uiPriority w:val="39"/>
    <w:rsid w:val="00DF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84-2020-nd-cp-huong-dan-luat-giao-duc-447674.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giao-duc/nghi-dinh-84-2020-nd-cp-huong-dan-luat-giao-duc-4476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QY5UZ4ZQWDMN-2102554853-4557</_dlc_DocId>
    <_dlc_DocIdUrl xmlns="df6cab6d-25a5-4a45-89de-f19c5af208b6">
      <Url>https://vinhcuu.dongnai.gov.vn/_layouts/15/DocIdRedir.aspx?ID=QY5UZ4ZQWDMN-2102554853-4557</Url>
      <Description>QY5UZ4ZQWDMN-2102554853-4557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1FEBD-DB11-4BA1-9842-034ACDFE7249}"/>
</file>

<file path=customXml/itemProps2.xml><?xml version="1.0" encoding="utf-8"?>
<ds:datastoreItem xmlns:ds="http://schemas.openxmlformats.org/officeDocument/2006/customXml" ds:itemID="{83EFEB0A-0015-4060-833E-D10133BF9780}"/>
</file>

<file path=customXml/itemProps3.xml><?xml version="1.0" encoding="utf-8"?>
<ds:datastoreItem xmlns:ds="http://schemas.openxmlformats.org/officeDocument/2006/customXml" ds:itemID="{19B39BF4-81DA-4277-98E2-C0ED446B94DF}"/>
</file>

<file path=customXml/itemProps4.xml><?xml version="1.0" encoding="utf-8"?>
<ds:datastoreItem xmlns:ds="http://schemas.openxmlformats.org/officeDocument/2006/customXml" ds:itemID="{2D8EA864-A556-406E-B549-90AC06B6BF35}"/>
</file>

<file path=docProps/app.xml><?xml version="1.0" encoding="utf-8"?>
<Properties xmlns="http://schemas.openxmlformats.org/officeDocument/2006/extended-properties" xmlns:vt="http://schemas.openxmlformats.org/officeDocument/2006/docPropsVTypes">
  <Template>Normal</Template>
  <TotalTime>16</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PhongGD49</cp:lastModifiedBy>
  <cp:revision>5</cp:revision>
  <dcterms:created xsi:type="dcterms:W3CDTF">2023-06-11T14:51:00Z</dcterms:created>
  <dcterms:modified xsi:type="dcterms:W3CDTF">2023-06-11T15:15:00Z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5b806cd7-5d8a-4c02-9f04-52552b544f52</vt:lpwstr>
  </property>
</Properties>
</file>